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8" w:type="dxa"/>
        <w:shd w:val="clear" w:color="auto" w:fill="B8CC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8"/>
      </w:tblGrid>
      <w:tr w:rsidR="00AE5C55" w:rsidRPr="00C03469" w14:paraId="668495D5" w14:textId="77777777" w:rsidTr="007B1ED9">
        <w:trPr>
          <w:trHeight w:val="738"/>
        </w:trPr>
        <w:tc>
          <w:tcPr>
            <w:tcW w:w="9308" w:type="dxa"/>
            <w:shd w:val="clear" w:color="auto" w:fill="B8CCE4"/>
            <w:vAlign w:val="center"/>
          </w:tcPr>
          <w:p w14:paraId="1FA3B5DD" w14:textId="05C10684" w:rsidR="00AE5C55" w:rsidRPr="001C4B17" w:rsidRDefault="00990CDA" w:rsidP="004A218D">
            <w:pPr>
              <w:jc w:val="center"/>
              <w:rPr>
                <w:rFonts w:ascii="Felbridge" w:hAnsi="Felbridge"/>
                <w:b/>
                <w:color w:val="1D396B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1D396B"/>
                <w:sz w:val="32"/>
              </w:rPr>
              <w:t>Billing for Tobacco Cessation Counseling Services provided by Pharmacists</w:t>
            </w:r>
          </w:p>
        </w:tc>
      </w:tr>
    </w:tbl>
    <w:p w14:paraId="0774EF37" w14:textId="77777777" w:rsidR="00916BB5" w:rsidRDefault="00916BB5" w:rsidP="00916BB5">
      <w:pPr>
        <w:jc w:val="both"/>
        <w:rPr>
          <w:rFonts w:ascii="Felbridge" w:hAnsi="Felbridge"/>
          <w:bCs/>
          <w:color w:val="365F91"/>
          <w:sz w:val="20"/>
          <w:szCs w:val="20"/>
        </w:rPr>
      </w:pPr>
    </w:p>
    <w:p w14:paraId="137C053D" w14:textId="77777777" w:rsidR="00061BBA" w:rsidRPr="006C0CCB" w:rsidRDefault="00061BBA" w:rsidP="00061BBA">
      <w:pPr>
        <w:rPr>
          <w:rFonts w:ascii="Felbridge" w:hAnsi="Felbridge"/>
          <w:color w:val="365F91"/>
          <w:sz w:val="20"/>
          <w:szCs w:val="20"/>
        </w:rPr>
      </w:pPr>
    </w:p>
    <w:p w14:paraId="6F80A559" w14:textId="34901BDD" w:rsidR="00990CDA" w:rsidRDefault="00B177A3" w:rsidP="00990CDA">
      <w:pPr>
        <w:rPr>
          <w:rFonts w:ascii="Arial" w:eastAsia="Arial" w:hAnsi="Arial" w:cs="Arial"/>
          <w:color w:val="365F91"/>
        </w:rPr>
      </w:pPr>
      <w:bookmarkStart w:id="0" w:name="_Hlk534981347"/>
      <w:r>
        <w:rPr>
          <w:rFonts w:ascii="Arial" w:eastAsia="Arial" w:hAnsi="Arial" w:cs="Arial"/>
          <w:color w:val="365F91"/>
        </w:rPr>
        <w:t>T</w:t>
      </w:r>
      <w:r w:rsidR="00990CDA">
        <w:rPr>
          <w:rFonts w:ascii="Arial" w:eastAsia="Arial" w:hAnsi="Arial" w:cs="Arial"/>
          <w:color w:val="365F91"/>
        </w:rPr>
        <w:t xml:space="preserve">he Department of Human Services (DHS) issued </w:t>
      </w:r>
      <w:hyperlink r:id="rId8" w:history="1">
        <w:r w:rsidR="00990CDA" w:rsidRPr="008E69C1">
          <w:rPr>
            <w:rStyle w:val="Hyperlink"/>
            <w:rFonts w:ascii="Arial" w:eastAsia="Arial" w:hAnsi="Arial" w:cs="Arial"/>
          </w:rPr>
          <w:t>Medical Assistance (MA) Bulletin 99-18-10</w:t>
        </w:r>
      </w:hyperlink>
      <w:r>
        <w:rPr>
          <w:rStyle w:val="Hyperlink"/>
          <w:rFonts w:ascii="Arial" w:eastAsia="Arial" w:hAnsi="Arial" w:cs="Arial"/>
        </w:rPr>
        <w:t xml:space="preserve"> titled “Enrollment of Tobacco Cessation Providers</w:t>
      </w:r>
      <w:r w:rsidR="00651231">
        <w:rPr>
          <w:rStyle w:val="Hyperlink"/>
          <w:rFonts w:ascii="Arial" w:eastAsia="Arial" w:hAnsi="Arial" w:cs="Arial"/>
        </w:rPr>
        <w:t>”</w:t>
      </w:r>
      <w:r>
        <w:rPr>
          <w:rStyle w:val="Hyperlink"/>
          <w:rFonts w:ascii="Arial" w:eastAsia="Arial" w:hAnsi="Arial" w:cs="Arial"/>
        </w:rPr>
        <w:t xml:space="preserve"> on June 18, 2018</w:t>
      </w:r>
      <w:r w:rsidR="00990CDA">
        <w:rPr>
          <w:rFonts w:ascii="Arial" w:eastAsia="Arial" w:hAnsi="Arial" w:cs="Arial"/>
          <w:color w:val="365F91"/>
        </w:rPr>
        <w:t xml:space="preserve">. The bulletin </w:t>
      </w:r>
      <w:r>
        <w:rPr>
          <w:rFonts w:ascii="Arial" w:eastAsia="Arial" w:hAnsi="Arial" w:cs="Arial"/>
          <w:color w:val="365F91"/>
        </w:rPr>
        <w:t xml:space="preserve">clarifies </w:t>
      </w:r>
      <w:r w:rsidR="00990CDA">
        <w:rPr>
          <w:rFonts w:ascii="Arial" w:eastAsia="Arial" w:hAnsi="Arial" w:cs="Arial"/>
          <w:color w:val="365F91"/>
        </w:rPr>
        <w:t xml:space="preserve">the </w:t>
      </w:r>
      <w:r>
        <w:rPr>
          <w:rFonts w:ascii="Arial" w:eastAsia="Arial" w:hAnsi="Arial" w:cs="Arial"/>
          <w:color w:val="365F91"/>
        </w:rPr>
        <w:t xml:space="preserve">Department’s </w:t>
      </w:r>
      <w:r w:rsidR="00990CDA">
        <w:rPr>
          <w:rFonts w:ascii="Arial" w:eastAsia="Arial" w:hAnsi="Arial" w:cs="Arial"/>
          <w:color w:val="365F91"/>
        </w:rPr>
        <w:t xml:space="preserve">position that any individual or entity approved by the Department of Health as a Tobacco Cessation Program (TCP) may enroll in the MA </w:t>
      </w:r>
      <w:r w:rsidR="00AB6165">
        <w:rPr>
          <w:rFonts w:ascii="Arial" w:eastAsia="Arial" w:hAnsi="Arial" w:cs="Arial"/>
          <w:color w:val="365F91"/>
        </w:rPr>
        <w:t>P</w:t>
      </w:r>
      <w:r w:rsidR="00990CDA">
        <w:rPr>
          <w:rFonts w:ascii="Arial" w:eastAsia="Arial" w:hAnsi="Arial" w:cs="Arial"/>
          <w:color w:val="365F91"/>
        </w:rPr>
        <w:t xml:space="preserve">rogram to render Tobacco Cessation Counseling (TCC) services to MA beneficiaries. </w:t>
      </w:r>
    </w:p>
    <w:p w14:paraId="35544822" w14:textId="77777777" w:rsidR="00990CDA" w:rsidRDefault="00990CDA" w:rsidP="00990CDA">
      <w:pPr>
        <w:rPr>
          <w:rFonts w:ascii="Arial" w:eastAsia="Arial" w:hAnsi="Arial" w:cs="Arial"/>
          <w:color w:val="365F91"/>
        </w:rPr>
      </w:pPr>
    </w:p>
    <w:p w14:paraId="7D60237A" w14:textId="42E62B7B" w:rsidR="00990CDA" w:rsidRDefault="00990CDA" w:rsidP="00990CDA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Pharmacists approved by the Department of Health as TCP</w:t>
      </w:r>
      <w:r w:rsidR="00B177A3">
        <w:rPr>
          <w:rFonts w:ascii="Arial" w:eastAsia="Arial" w:hAnsi="Arial" w:cs="Arial"/>
          <w:color w:val="365F91"/>
        </w:rPr>
        <w:t xml:space="preserve"> may enroll in the MA Program as a </w:t>
      </w:r>
      <w:r>
        <w:rPr>
          <w:rFonts w:ascii="Arial" w:eastAsia="Arial" w:hAnsi="Arial" w:cs="Arial"/>
          <w:color w:val="365F91"/>
        </w:rPr>
        <w:t xml:space="preserve">provider type (PT) 37 with a provider specialty of 370, to render TCC services.  </w:t>
      </w:r>
    </w:p>
    <w:p w14:paraId="6C3E0B6F" w14:textId="77777777" w:rsidR="00990CDA" w:rsidRDefault="00990CDA" w:rsidP="00990CDA">
      <w:pPr>
        <w:rPr>
          <w:rFonts w:ascii="Arial" w:eastAsia="Arial" w:hAnsi="Arial" w:cs="Arial"/>
          <w:color w:val="365F91"/>
        </w:rPr>
      </w:pPr>
    </w:p>
    <w:p w14:paraId="234994F1" w14:textId="59A52C43" w:rsidR="00990CDA" w:rsidRDefault="00475623" w:rsidP="00990CDA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Pharmacies, employing pharmacist providing TCC, have been unable to bill for the services provided by their employees.  U</w:t>
      </w:r>
      <w:r w:rsidR="00B177A3">
        <w:rPr>
          <w:rFonts w:ascii="Arial" w:eastAsia="Arial" w:hAnsi="Arial" w:cs="Arial"/>
          <w:color w:val="365F91"/>
        </w:rPr>
        <w:t>nder the MA Program’s fee-for-service delivery system, the Department is unable to pay</w:t>
      </w:r>
      <w:r>
        <w:rPr>
          <w:rFonts w:ascii="Arial" w:eastAsia="Arial" w:hAnsi="Arial" w:cs="Arial"/>
          <w:color w:val="365F91"/>
        </w:rPr>
        <w:t xml:space="preserve"> pharmacies for the</w:t>
      </w:r>
      <w:r w:rsidR="00B177A3">
        <w:rPr>
          <w:rFonts w:ascii="Arial" w:eastAsia="Arial" w:hAnsi="Arial" w:cs="Arial"/>
          <w:color w:val="365F91"/>
        </w:rPr>
        <w:t xml:space="preserve"> TCC services</w:t>
      </w:r>
      <w:r w:rsidR="00AB6165">
        <w:rPr>
          <w:rFonts w:ascii="Arial" w:eastAsia="Arial" w:hAnsi="Arial" w:cs="Arial"/>
          <w:color w:val="365F91"/>
        </w:rPr>
        <w:t xml:space="preserve">, because pharmacists </w:t>
      </w:r>
      <w:r>
        <w:rPr>
          <w:rFonts w:ascii="Arial" w:eastAsia="Arial" w:hAnsi="Arial" w:cs="Arial"/>
          <w:color w:val="365F91"/>
        </w:rPr>
        <w:t>have been unable to</w:t>
      </w:r>
      <w:r w:rsidR="00AB6165">
        <w:rPr>
          <w:rFonts w:ascii="Arial" w:eastAsia="Arial" w:hAnsi="Arial" w:cs="Arial"/>
          <w:color w:val="365F91"/>
        </w:rPr>
        <w:t xml:space="preserve"> fee-assign their</w:t>
      </w:r>
      <w:r>
        <w:rPr>
          <w:rFonts w:ascii="Arial" w:eastAsia="Arial" w:hAnsi="Arial" w:cs="Arial"/>
          <w:color w:val="365F91"/>
        </w:rPr>
        <w:t xml:space="preserve"> payments to the</w:t>
      </w:r>
      <w:r w:rsidR="00990CDA">
        <w:rPr>
          <w:rFonts w:ascii="Arial" w:eastAsia="Arial" w:hAnsi="Arial" w:cs="Arial"/>
          <w:color w:val="365F91"/>
        </w:rPr>
        <w:t xml:space="preserve"> employing pharmacy.</w:t>
      </w:r>
    </w:p>
    <w:p w14:paraId="58E39F84" w14:textId="77777777" w:rsidR="00990CDA" w:rsidRDefault="00990CDA" w:rsidP="00990CDA">
      <w:pPr>
        <w:rPr>
          <w:rFonts w:ascii="Arial" w:eastAsia="Arial" w:hAnsi="Arial" w:cs="Arial"/>
          <w:color w:val="365F91"/>
        </w:rPr>
      </w:pPr>
    </w:p>
    <w:p w14:paraId="4745A310" w14:textId="435AE8F0" w:rsidR="00990CDA" w:rsidRDefault="00AB6165" w:rsidP="00990CDA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B</w:t>
      </w:r>
      <w:r w:rsidR="00990CDA">
        <w:rPr>
          <w:rFonts w:ascii="Arial" w:eastAsia="Arial" w:hAnsi="Arial" w:cs="Arial"/>
          <w:color w:val="365F91"/>
        </w:rPr>
        <w:t>eginning</w:t>
      </w:r>
      <w:r>
        <w:rPr>
          <w:rFonts w:ascii="Arial" w:eastAsia="Arial" w:hAnsi="Arial" w:cs="Arial"/>
          <w:color w:val="365F91"/>
        </w:rPr>
        <w:t xml:space="preserve"> with dates of service on and after</w:t>
      </w:r>
      <w:r w:rsidR="00990CDA">
        <w:rPr>
          <w:rFonts w:ascii="Arial" w:eastAsia="Arial" w:hAnsi="Arial" w:cs="Arial"/>
          <w:color w:val="365F91"/>
        </w:rPr>
        <w:t xml:space="preserve"> </w:t>
      </w:r>
      <w:r w:rsidR="001C667E">
        <w:rPr>
          <w:rFonts w:ascii="Arial" w:eastAsia="Arial" w:hAnsi="Arial" w:cs="Arial"/>
          <w:color w:val="365F91"/>
        </w:rPr>
        <w:t>05/01/2019</w:t>
      </w:r>
      <w:bookmarkStart w:id="1" w:name="_GoBack"/>
      <w:bookmarkEnd w:id="1"/>
      <w:r>
        <w:rPr>
          <w:rFonts w:ascii="Arial" w:eastAsia="Arial" w:hAnsi="Arial" w:cs="Arial"/>
          <w:color w:val="365F91"/>
        </w:rPr>
        <w:t xml:space="preserve">, </w:t>
      </w:r>
      <w:r w:rsidR="00990CDA">
        <w:rPr>
          <w:rFonts w:ascii="Arial" w:eastAsia="Arial" w:hAnsi="Arial" w:cs="Arial"/>
          <w:color w:val="365F91"/>
        </w:rPr>
        <w:t xml:space="preserve">a pharmacist enrolled as a TCP provider may fee-assign their payments to their employer, an MA </w:t>
      </w:r>
      <w:r>
        <w:rPr>
          <w:rFonts w:ascii="Arial" w:eastAsia="Arial" w:hAnsi="Arial" w:cs="Arial"/>
          <w:color w:val="365F91"/>
        </w:rPr>
        <w:t xml:space="preserve">Program </w:t>
      </w:r>
      <w:r w:rsidR="00990CDA">
        <w:rPr>
          <w:rFonts w:ascii="Arial" w:eastAsia="Arial" w:hAnsi="Arial" w:cs="Arial"/>
          <w:color w:val="365F91"/>
        </w:rPr>
        <w:t xml:space="preserve">enrolled pharmacy (PT 24).  </w:t>
      </w:r>
    </w:p>
    <w:p w14:paraId="54B26223" w14:textId="77777777" w:rsidR="007A40BA" w:rsidRDefault="007A40BA" w:rsidP="00990CDA">
      <w:pPr>
        <w:rPr>
          <w:rFonts w:ascii="Arial" w:eastAsia="Arial" w:hAnsi="Arial" w:cs="Arial"/>
          <w:color w:val="365F91"/>
        </w:rPr>
      </w:pPr>
    </w:p>
    <w:bookmarkEnd w:id="0"/>
    <w:p w14:paraId="6F481783" w14:textId="281F38E8" w:rsidR="0042166B" w:rsidRDefault="0042166B" w:rsidP="00475623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When enrolling in MA, a</w:t>
      </w:r>
      <w:r w:rsidR="00475623">
        <w:rPr>
          <w:rFonts w:ascii="Arial" w:eastAsia="Arial" w:hAnsi="Arial" w:cs="Arial"/>
          <w:color w:val="365F91"/>
        </w:rPr>
        <w:t xml:space="preserve"> pharmacist applying to become a TCP provider may request their fees be assigned to their employing MA enrolled pharmacy</w:t>
      </w:r>
      <w:r w:rsidR="007A40BA">
        <w:rPr>
          <w:rFonts w:ascii="Arial" w:eastAsia="Arial" w:hAnsi="Arial" w:cs="Arial"/>
          <w:color w:val="365F91"/>
        </w:rPr>
        <w:t xml:space="preserve"> by</w:t>
      </w:r>
      <w:r>
        <w:rPr>
          <w:rFonts w:ascii="Arial" w:eastAsia="Arial" w:hAnsi="Arial" w:cs="Arial"/>
          <w:color w:val="365F91"/>
        </w:rPr>
        <w:t>:</w:t>
      </w:r>
    </w:p>
    <w:p w14:paraId="0E7E1523" w14:textId="77777777" w:rsidR="0042166B" w:rsidRDefault="0042166B" w:rsidP="00475623">
      <w:pPr>
        <w:rPr>
          <w:rFonts w:ascii="Arial" w:eastAsia="Arial" w:hAnsi="Arial" w:cs="Arial"/>
          <w:color w:val="365F91"/>
        </w:rPr>
      </w:pPr>
    </w:p>
    <w:p w14:paraId="434BF184" w14:textId="516772E7" w:rsidR="0042166B" w:rsidRDefault="0042166B" w:rsidP="00311FE6">
      <w:pPr>
        <w:pStyle w:val="ListParagraph"/>
        <w:numPr>
          <w:ilvl w:val="0"/>
          <w:numId w:val="18"/>
        </w:numPr>
        <w:rPr>
          <w:rFonts w:ascii="Arial" w:eastAsia="Arial" w:hAnsi="Arial" w:cs="Arial"/>
          <w:color w:val="365F91"/>
        </w:rPr>
      </w:pPr>
      <w:r w:rsidRPr="0042166B">
        <w:rPr>
          <w:rFonts w:ascii="Arial" w:eastAsia="Arial" w:hAnsi="Arial" w:cs="Arial"/>
          <w:color w:val="365F91"/>
        </w:rPr>
        <w:t>I</w:t>
      </w:r>
      <w:r w:rsidR="00475623" w:rsidRPr="0042166B">
        <w:rPr>
          <w:rFonts w:ascii="Arial" w:eastAsia="Arial" w:hAnsi="Arial" w:cs="Arial"/>
          <w:color w:val="365F91"/>
        </w:rPr>
        <w:t>n the paper enrollment application</w:t>
      </w:r>
      <w:r w:rsidRPr="0042166B">
        <w:rPr>
          <w:rFonts w:ascii="Arial" w:eastAsia="Arial" w:hAnsi="Arial" w:cs="Arial"/>
          <w:color w:val="365F91"/>
        </w:rPr>
        <w:t>, the enrolled pharmacy’s 13- digit MA identification number, also known as the PROMISe ID</w:t>
      </w:r>
      <w:r>
        <w:rPr>
          <w:rFonts w:ascii="Arial" w:eastAsia="Arial" w:hAnsi="Arial" w:cs="Arial"/>
          <w:color w:val="365F91"/>
        </w:rPr>
        <w:t>,</w:t>
      </w:r>
      <w:r w:rsidRPr="0042166B">
        <w:rPr>
          <w:rFonts w:ascii="Arial" w:eastAsia="Arial" w:hAnsi="Arial" w:cs="Arial"/>
          <w:color w:val="365F91"/>
        </w:rPr>
        <w:t xml:space="preserve"> should be provided when asked if the provider wishes to be added to an existing group.  </w:t>
      </w:r>
    </w:p>
    <w:p w14:paraId="714BA75B" w14:textId="47E8C740" w:rsidR="00475623" w:rsidRPr="0042166B" w:rsidRDefault="007A40BA" w:rsidP="00311FE6">
      <w:pPr>
        <w:pStyle w:val="ListParagraph"/>
        <w:numPr>
          <w:ilvl w:val="0"/>
          <w:numId w:val="18"/>
        </w:num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In</w:t>
      </w:r>
      <w:r w:rsidR="00475623" w:rsidRPr="0042166B">
        <w:rPr>
          <w:rFonts w:ascii="Arial" w:eastAsia="Arial" w:hAnsi="Arial" w:cs="Arial"/>
          <w:color w:val="365F91"/>
        </w:rPr>
        <w:t xml:space="preserve"> an electronic provider enrollment application, the pharmacist may provide the </w:t>
      </w:r>
      <w:r w:rsidR="0042166B">
        <w:rPr>
          <w:rFonts w:ascii="Arial" w:eastAsia="Arial" w:hAnsi="Arial" w:cs="Arial"/>
          <w:color w:val="365F91"/>
        </w:rPr>
        <w:t xml:space="preserve">pharmacy’s </w:t>
      </w:r>
      <w:r w:rsidR="00B8116F">
        <w:rPr>
          <w:rFonts w:ascii="Arial" w:eastAsia="Arial" w:hAnsi="Arial" w:cs="Arial"/>
          <w:color w:val="365F91"/>
        </w:rPr>
        <w:t>13-digit</w:t>
      </w:r>
      <w:r>
        <w:rPr>
          <w:rFonts w:ascii="Arial" w:eastAsia="Arial" w:hAnsi="Arial" w:cs="Arial"/>
          <w:color w:val="365F91"/>
        </w:rPr>
        <w:t xml:space="preserve"> </w:t>
      </w:r>
      <w:r w:rsidR="00475623" w:rsidRPr="0042166B">
        <w:rPr>
          <w:rFonts w:ascii="Arial" w:eastAsia="Arial" w:hAnsi="Arial" w:cs="Arial"/>
          <w:color w:val="365F91"/>
        </w:rPr>
        <w:t>PROMISe ID</w:t>
      </w:r>
      <w:r w:rsidR="0042166B">
        <w:rPr>
          <w:rFonts w:ascii="Arial" w:eastAsia="Arial" w:hAnsi="Arial" w:cs="Arial"/>
          <w:color w:val="365F91"/>
        </w:rPr>
        <w:t xml:space="preserve"> to be fee assigned to an existing group</w:t>
      </w:r>
      <w:r w:rsidR="00475623" w:rsidRPr="0042166B">
        <w:rPr>
          <w:rFonts w:ascii="Arial" w:eastAsia="Arial" w:hAnsi="Arial" w:cs="Arial"/>
          <w:color w:val="365F91"/>
        </w:rPr>
        <w:t xml:space="preserve">.  </w:t>
      </w:r>
    </w:p>
    <w:p w14:paraId="2F6C9213" w14:textId="77777777" w:rsidR="00990CDA" w:rsidRDefault="00990CDA" w:rsidP="00990CDA">
      <w:pPr>
        <w:rPr>
          <w:rFonts w:ascii="Arial" w:eastAsia="Arial" w:hAnsi="Arial" w:cs="Arial"/>
          <w:color w:val="365F91"/>
        </w:rPr>
      </w:pPr>
    </w:p>
    <w:p w14:paraId="732CA762" w14:textId="4830D005" w:rsidR="00990CDA" w:rsidRDefault="00990CDA" w:rsidP="00990CDA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 xml:space="preserve">If a pharmacist has already enrolled in the MA </w:t>
      </w:r>
      <w:r w:rsidR="00B32818">
        <w:rPr>
          <w:rFonts w:ascii="Arial" w:eastAsia="Arial" w:hAnsi="Arial" w:cs="Arial"/>
          <w:color w:val="365F91"/>
        </w:rPr>
        <w:t>P</w:t>
      </w:r>
      <w:r>
        <w:rPr>
          <w:rFonts w:ascii="Arial" w:eastAsia="Arial" w:hAnsi="Arial" w:cs="Arial"/>
          <w:color w:val="365F91"/>
        </w:rPr>
        <w:t xml:space="preserve">rogram as a TCP and wants to fee-assign to the pharmacy </w:t>
      </w:r>
      <w:r w:rsidR="007E3B89">
        <w:rPr>
          <w:rFonts w:ascii="Arial" w:eastAsia="Arial" w:hAnsi="Arial" w:cs="Arial"/>
          <w:color w:val="365F91"/>
        </w:rPr>
        <w:t>they are</w:t>
      </w:r>
      <w:r w:rsidR="005B2E7F">
        <w:rPr>
          <w:rFonts w:ascii="Arial" w:eastAsia="Arial" w:hAnsi="Arial" w:cs="Arial"/>
          <w:color w:val="365F91"/>
        </w:rPr>
        <w:t xml:space="preserve"> </w:t>
      </w:r>
      <w:r w:rsidR="00B32818">
        <w:rPr>
          <w:rFonts w:ascii="Arial" w:eastAsia="Arial" w:hAnsi="Arial" w:cs="Arial"/>
          <w:color w:val="365F91"/>
        </w:rPr>
        <w:t>employed by</w:t>
      </w:r>
      <w:r>
        <w:rPr>
          <w:rFonts w:ascii="Arial" w:eastAsia="Arial" w:hAnsi="Arial" w:cs="Arial"/>
          <w:color w:val="365F91"/>
        </w:rPr>
        <w:t>, the pharmacist may:</w:t>
      </w:r>
    </w:p>
    <w:p w14:paraId="131E5B8E" w14:textId="309DDC00" w:rsidR="00990CDA" w:rsidRDefault="00990CDA" w:rsidP="00990CDA">
      <w:pPr>
        <w:rPr>
          <w:rFonts w:ascii="Arial" w:eastAsia="Arial" w:hAnsi="Arial" w:cs="Arial"/>
          <w:color w:val="365F91"/>
        </w:rPr>
      </w:pPr>
    </w:p>
    <w:p w14:paraId="2722FDCC" w14:textId="67F42F54" w:rsidR="00990CDA" w:rsidRPr="00B32818" w:rsidRDefault="00990CDA" w:rsidP="0042166B">
      <w:pPr>
        <w:pStyle w:val="ListParagraph"/>
        <w:numPr>
          <w:ilvl w:val="0"/>
          <w:numId w:val="19"/>
        </w:numPr>
        <w:rPr>
          <w:rFonts w:ascii="Arial" w:eastAsia="Arial" w:hAnsi="Arial" w:cs="Arial"/>
          <w:color w:val="365F91"/>
        </w:rPr>
      </w:pPr>
      <w:r w:rsidRPr="00B32818">
        <w:rPr>
          <w:rFonts w:ascii="Arial" w:eastAsia="Arial" w:hAnsi="Arial" w:cs="Arial"/>
          <w:color w:val="365F91"/>
        </w:rPr>
        <w:t xml:space="preserve">Log in to </w:t>
      </w:r>
      <w:proofErr w:type="spellStart"/>
      <w:r w:rsidRPr="00B32818">
        <w:rPr>
          <w:rFonts w:ascii="Arial" w:eastAsia="Arial" w:hAnsi="Arial" w:cs="Arial"/>
          <w:color w:val="365F91"/>
        </w:rPr>
        <w:t>ePEAP</w:t>
      </w:r>
      <w:proofErr w:type="spellEnd"/>
      <w:r w:rsidRPr="00B32818">
        <w:rPr>
          <w:rFonts w:ascii="Arial" w:eastAsia="Arial" w:hAnsi="Arial" w:cs="Arial"/>
          <w:color w:val="365F91"/>
        </w:rPr>
        <w:t xml:space="preserve"> at </w:t>
      </w:r>
      <w:hyperlink r:id="rId9" w:history="1">
        <w:r w:rsidR="00B32818" w:rsidRPr="00B32818">
          <w:rPr>
            <w:rStyle w:val="Hyperlink"/>
            <w:rFonts w:ascii="Arial" w:eastAsia="Arial" w:hAnsi="Arial" w:cs="Arial"/>
          </w:rPr>
          <w:t>http://promise.DHS.state.pa.us</w:t>
        </w:r>
      </w:hyperlink>
      <w:r w:rsidRPr="00B32818">
        <w:rPr>
          <w:rFonts w:ascii="Arial" w:eastAsia="Arial" w:hAnsi="Arial" w:cs="Arial"/>
          <w:color w:val="365F91"/>
        </w:rPr>
        <w:t xml:space="preserve">.  From the </w:t>
      </w:r>
      <w:proofErr w:type="spellStart"/>
      <w:r w:rsidRPr="00B32818">
        <w:rPr>
          <w:rFonts w:ascii="Arial" w:eastAsia="Arial" w:hAnsi="Arial" w:cs="Arial"/>
          <w:color w:val="365F91"/>
        </w:rPr>
        <w:t>ePEAP</w:t>
      </w:r>
      <w:proofErr w:type="spellEnd"/>
      <w:r w:rsidRPr="00B32818">
        <w:rPr>
          <w:rFonts w:ascii="Arial" w:eastAsia="Arial" w:hAnsi="Arial" w:cs="Arial"/>
          <w:color w:val="365F91"/>
        </w:rPr>
        <w:t xml:space="preserve"> menu, click on enrollment information, and then on the Fee Assignment Information.  </w:t>
      </w:r>
      <w:proofErr w:type="spellStart"/>
      <w:r w:rsidRPr="00B32818">
        <w:rPr>
          <w:rFonts w:ascii="Arial" w:eastAsia="Arial" w:hAnsi="Arial" w:cs="Arial"/>
          <w:color w:val="365F91"/>
        </w:rPr>
        <w:t>ePEAP</w:t>
      </w:r>
      <w:proofErr w:type="spellEnd"/>
      <w:r w:rsidRPr="00B32818">
        <w:rPr>
          <w:rFonts w:ascii="Arial" w:eastAsia="Arial" w:hAnsi="Arial" w:cs="Arial"/>
          <w:color w:val="365F91"/>
        </w:rPr>
        <w:t xml:space="preserve"> will then give the provider the option to add a group or manage fee assignments.  The</w:t>
      </w:r>
      <w:r w:rsidR="0042166B">
        <w:rPr>
          <w:rFonts w:ascii="Arial" w:eastAsia="Arial" w:hAnsi="Arial" w:cs="Arial"/>
          <w:color w:val="365F91"/>
        </w:rPr>
        <w:t xml:space="preserve"> pharmacist will want to add a group and provide the</w:t>
      </w:r>
      <w:r w:rsidRPr="00B32818">
        <w:rPr>
          <w:rFonts w:ascii="Arial" w:eastAsia="Arial" w:hAnsi="Arial" w:cs="Arial"/>
          <w:color w:val="365F91"/>
        </w:rPr>
        <w:t xml:space="preserve"> 13-digit </w:t>
      </w:r>
      <w:r w:rsidR="0042166B">
        <w:rPr>
          <w:rFonts w:ascii="Arial" w:eastAsia="Arial" w:hAnsi="Arial" w:cs="Arial"/>
          <w:color w:val="365F91"/>
        </w:rPr>
        <w:t>pharmacy</w:t>
      </w:r>
      <w:r w:rsidRPr="00B32818">
        <w:rPr>
          <w:rFonts w:ascii="Arial" w:eastAsia="Arial" w:hAnsi="Arial" w:cs="Arial"/>
          <w:color w:val="365F91"/>
        </w:rPr>
        <w:t xml:space="preserve"> PROMIS</w:t>
      </w:r>
      <w:r w:rsidRPr="005B2E7F">
        <w:rPr>
          <w:rFonts w:ascii="Arial" w:eastAsia="Arial" w:hAnsi="Arial" w:cs="Arial"/>
          <w:i/>
          <w:color w:val="365F91"/>
        </w:rPr>
        <w:t>e</w:t>
      </w:r>
      <w:r w:rsidR="00B32818" w:rsidRPr="00B32818">
        <w:rPr>
          <w:rFonts w:ascii="Arial" w:eastAsia="Arial" w:hAnsi="Arial" w:cs="Arial"/>
          <w:color w:val="365F91"/>
        </w:rPr>
        <w:t>™</w:t>
      </w:r>
      <w:r w:rsidRPr="00B32818">
        <w:rPr>
          <w:rFonts w:ascii="Arial" w:eastAsia="Arial" w:hAnsi="Arial" w:cs="Arial"/>
          <w:color w:val="365F91"/>
        </w:rPr>
        <w:t xml:space="preserve"> ID </w:t>
      </w:r>
      <w:r w:rsidR="007E3B89">
        <w:rPr>
          <w:rFonts w:ascii="Arial" w:eastAsia="Arial" w:hAnsi="Arial" w:cs="Arial"/>
          <w:color w:val="365F91"/>
        </w:rPr>
        <w:t>to complete the fee assignment.</w:t>
      </w:r>
    </w:p>
    <w:p w14:paraId="49A0472B" w14:textId="77777777" w:rsidR="00990CDA" w:rsidRDefault="00990CDA" w:rsidP="00990CDA">
      <w:pPr>
        <w:pStyle w:val="ListParagraph"/>
        <w:rPr>
          <w:rFonts w:ascii="Arial" w:eastAsia="Arial" w:hAnsi="Arial" w:cs="Arial"/>
          <w:color w:val="365F91"/>
        </w:rPr>
      </w:pPr>
    </w:p>
    <w:p w14:paraId="71BDC0BC" w14:textId="1B5A9B44" w:rsidR="00990CDA" w:rsidRPr="00990CDA" w:rsidRDefault="00990CDA" w:rsidP="00990CDA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65F91"/>
        </w:rPr>
      </w:pPr>
      <w:r w:rsidRPr="00990CDA">
        <w:rPr>
          <w:rFonts w:ascii="Arial" w:eastAsia="Arial" w:hAnsi="Arial" w:cs="Arial"/>
          <w:color w:val="365F91"/>
        </w:rPr>
        <w:lastRenderedPageBreak/>
        <w:t xml:space="preserve">Complete and submit the following </w:t>
      </w:r>
      <w:r w:rsidR="00B32818">
        <w:rPr>
          <w:rFonts w:ascii="Arial" w:eastAsia="Arial" w:hAnsi="Arial" w:cs="Arial"/>
          <w:color w:val="365F91"/>
        </w:rPr>
        <w:t>R</w:t>
      </w:r>
      <w:r w:rsidRPr="00990CDA">
        <w:rPr>
          <w:rFonts w:ascii="Arial" w:eastAsia="Arial" w:hAnsi="Arial" w:cs="Arial"/>
          <w:color w:val="365F91"/>
        </w:rPr>
        <w:t xml:space="preserve">equest for </w:t>
      </w:r>
      <w:r w:rsidR="00B32818">
        <w:rPr>
          <w:rFonts w:ascii="Arial" w:eastAsia="Arial" w:hAnsi="Arial" w:cs="Arial"/>
          <w:color w:val="365F91"/>
        </w:rPr>
        <w:t>A</w:t>
      </w:r>
      <w:r w:rsidRPr="00990CDA">
        <w:rPr>
          <w:rFonts w:ascii="Arial" w:eastAsia="Arial" w:hAnsi="Arial" w:cs="Arial"/>
          <w:color w:val="365F91"/>
        </w:rPr>
        <w:t xml:space="preserve">ssignment of </w:t>
      </w:r>
      <w:r w:rsidR="00B32818">
        <w:rPr>
          <w:rFonts w:ascii="Arial" w:eastAsia="Arial" w:hAnsi="Arial" w:cs="Arial"/>
          <w:color w:val="365F91"/>
        </w:rPr>
        <w:t>F</w:t>
      </w:r>
      <w:r w:rsidRPr="00990CDA">
        <w:rPr>
          <w:rFonts w:ascii="Arial" w:eastAsia="Arial" w:hAnsi="Arial" w:cs="Arial"/>
          <w:color w:val="365F91"/>
        </w:rPr>
        <w:t xml:space="preserve">ees </w:t>
      </w:r>
      <w:r w:rsidR="00B32818">
        <w:rPr>
          <w:rFonts w:ascii="Arial" w:eastAsia="Arial" w:hAnsi="Arial" w:cs="Arial"/>
          <w:color w:val="365F91"/>
        </w:rPr>
        <w:t>F</w:t>
      </w:r>
      <w:r w:rsidRPr="00990CDA">
        <w:rPr>
          <w:rFonts w:ascii="Arial" w:eastAsia="Arial" w:hAnsi="Arial" w:cs="Arial"/>
          <w:color w:val="365F91"/>
        </w:rPr>
        <w:t>orm</w:t>
      </w:r>
      <w:r w:rsidR="00B32818">
        <w:rPr>
          <w:rFonts w:ascii="Arial" w:eastAsia="Arial" w:hAnsi="Arial" w:cs="Arial"/>
          <w:color w:val="365F91"/>
        </w:rPr>
        <w:t>, which may be accessed at the following website link</w:t>
      </w:r>
      <w:r w:rsidRPr="00990CDA">
        <w:rPr>
          <w:rFonts w:ascii="Arial" w:eastAsia="Arial" w:hAnsi="Arial" w:cs="Arial"/>
          <w:color w:val="365F91"/>
        </w:rPr>
        <w:t>:</w:t>
      </w:r>
    </w:p>
    <w:p w14:paraId="4E1D1666" w14:textId="3953975C" w:rsidR="006F6910" w:rsidRDefault="005A5339" w:rsidP="007A40BA">
      <w:pPr>
        <w:pStyle w:val="ListParagraph"/>
        <w:rPr>
          <w:rFonts w:ascii="Arial" w:eastAsia="Arial" w:hAnsi="Arial" w:cs="Arial"/>
          <w:color w:val="365F91"/>
        </w:rPr>
      </w:pPr>
      <w:hyperlink r:id="rId10" w:history="1">
        <w:r w:rsidR="00990CDA" w:rsidRPr="005A64CE">
          <w:rPr>
            <w:rStyle w:val="Hyperlink"/>
            <w:rFonts w:ascii="Arial" w:eastAsia="Arial" w:hAnsi="Arial" w:cs="Arial"/>
          </w:rPr>
          <w:t>http://www.dhs.pa.gov/cs/groups/webcontent/documents/form/p_023558.pdf</w:t>
        </w:r>
      </w:hyperlink>
      <w:r w:rsidR="00990CDA">
        <w:rPr>
          <w:rFonts w:ascii="Arial" w:eastAsia="Arial" w:hAnsi="Arial" w:cs="Arial"/>
          <w:color w:val="365F91"/>
        </w:rPr>
        <w:t xml:space="preserve"> </w:t>
      </w:r>
    </w:p>
    <w:p w14:paraId="1108BA4E" w14:textId="2C296384" w:rsidR="007A40BA" w:rsidRDefault="007A40BA" w:rsidP="007A40BA">
      <w:pPr>
        <w:rPr>
          <w:rFonts w:ascii="Arial" w:eastAsia="Arial" w:hAnsi="Arial" w:cs="Arial"/>
          <w:color w:val="365F91"/>
        </w:rPr>
      </w:pPr>
    </w:p>
    <w:p w14:paraId="00C74647" w14:textId="58879D6F" w:rsidR="007A40BA" w:rsidRDefault="007A40BA" w:rsidP="007A40BA">
      <w:pPr>
        <w:rPr>
          <w:rFonts w:ascii="Arial" w:eastAsia="Arial" w:hAnsi="Arial" w:cs="Arial"/>
          <w:color w:val="365F91"/>
        </w:rPr>
      </w:pPr>
      <w:r>
        <w:rPr>
          <w:rFonts w:ascii="Arial" w:eastAsia="Arial" w:hAnsi="Arial" w:cs="Arial"/>
          <w:color w:val="365F91"/>
        </w:rPr>
        <w:t>On the claim submitted for payment, the TCP provider (pharmacist) would be the rendering provider and the pharmacy would be the billing provider once the fee-assignment is completed.</w:t>
      </w:r>
    </w:p>
    <w:p w14:paraId="4ADB91E6" w14:textId="613D1E7B" w:rsidR="007A40BA" w:rsidRPr="007A40BA" w:rsidRDefault="007A40BA" w:rsidP="007A40BA">
      <w:pPr>
        <w:rPr>
          <w:rFonts w:ascii="Arial" w:eastAsia="Arial" w:hAnsi="Arial" w:cs="Arial"/>
          <w:color w:val="365F91"/>
        </w:rPr>
      </w:pPr>
    </w:p>
    <w:p w14:paraId="4CF12683" w14:textId="77777777" w:rsidR="006F6910" w:rsidRDefault="006F6910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5A5F592A" w14:textId="77777777" w:rsidR="006F6910" w:rsidRDefault="006F6910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16EC777A" w14:textId="77777777" w:rsidR="008F7DC7" w:rsidRDefault="008F7DC7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08B04749" w14:textId="77777777" w:rsidR="008F7DC7" w:rsidRDefault="008F7DC7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6DAB6554" w14:textId="5C7AB889" w:rsidR="00623BA2" w:rsidRDefault="00623BA2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6B065435" w14:textId="6CD9596E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6948CB9E" w14:textId="28B85394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426B0CD0" w14:textId="1FD75C4F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23FD06E3" w14:textId="3CFDF12E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751A4CD2" w14:textId="0D020FB3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2320FFCD" w14:textId="440210AC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1E466EFA" w14:textId="0F1C3428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48099302" w14:textId="3259A193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339842D2" w14:textId="73483187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33A0ED92" w14:textId="3FC6D8AD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4A732822" w14:textId="3ED77E89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29861265" w14:textId="177C72FA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1C53A2D6" w14:textId="4F9AA031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7A005755" w14:textId="7A23486B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369E2A7B" w14:textId="6CD08307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163F9549" w14:textId="204EE12C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0D210BAF" w14:textId="47CA02FA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2BE118D3" w14:textId="75820E9F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1977DDE7" w14:textId="2688AF60" w:rsidR="004723DC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64BCC226" w14:textId="77777777" w:rsidR="004723DC" w:rsidRPr="002C27C7" w:rsidRDefault="004723DC" w:rsidP="002C27C7">
      <w:pPr>
        <w:jc w:val="both"/>
        <w:rPr>
          <w:rFonts w:ascii="Felbridge" w:hAnsi="Felbridge"/>
          <w:color w:val="365F91"/>
          <w:sz w:val="20"/>
          <w:szCs w:val="20"/>
        </w:rPr>
      </w:pPr>
    </w:p>
    <w:p w14:paraId="635B2EFD" w14:textId="137B3B8D" w:rsidR="00C03469" w:rsidRDefault="00C03469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A84C50" w14:textId="48848CD4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01B6CEC" w14:textId="572E4D49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657C229" w14:textId="0FC0742B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5353DDB" w14:textId="4692E927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D075AE8" w14:textId="6E3732AC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69FD9C2" w14:textId="4D71C942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142C464" w14:textId="1974FAE2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7C97FAD" w14:textId="4833E5F1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A091D14" w14:textId="1AAD4988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4EAA1E7" w14:textId="77777777" w:rsidR="00455FC3" w:rsidRDefault="00455FC3" w:rsidP="00C578E5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C269A45" w14:textId="77777777" w:rsidR="00C578E5" w:rsidRPr="00C578E5" w:rsidRDefault="00C578E5" w:rsidP="00C578E5">
      <w:pPr>
        <w:jc w:val="center"/>
        <w:rPr>
          <w:rFonts w:ascii="Felbridge" w:hAnsi="Felbridge"/>
          <w:b/>
          <w:color w:val="365F91"/>
          <w:sz w:val="16"/>
          <w:szCs w:val="16"/>
        </w:rPr>
      </w:pPr>
      <w:r w:rsidRPr="00C578E5">
        <w:rPr>
          <w:rFonts w:ascii="Felbridge" w:hAnsi="Felbridge"/>
          <w:b/>
          <w:color w:val="365F91"/>
          <w:sz w:val="16"/>
          <w:szCs w:val="16"/>
        </w:rPr>
        <w:t xml:space="preserve">Thank you for your service to our MA </w:t>
      </w:r>
      <w:r w:rsidR="00A8374C">
        <w:rPr>
          <w:rFonts w:ascii="Felbridge" w:hAnsi="Felbridge"/>
          <w:b/>
          <w:color w:val="365F91"/>
          <w:sz w:val="16"/>
          <w:szCs w:val="16"/>
        </w:rPr>
        <w:t>r</w:t>
      </w:r>
      <w:r w:rsidRPr="00C578E5">
        <w:rPr>
          <w:rFonts w:ascii="Felbridge" w:hAnsi="Felbridge"/>
          <w:b/>
          <w:color w:val="365F91"/>
          <w:sz w:val="16"/>
          <w:szCs w:val="16"/>
        </w:rPr>
        <w:t xml:space="preserve">ecipients. </w:t>
      </w:r>
    </w:p>
    <w:p w14:paraId="2FF9144C" w14:textId="77777777" w:rsidR="00C578E5" w:rsidRPr="00C578E5" w:rsidRDefault="00C578E5" w:rsidP="00C578E5">
      <w:pPr>
        <w:jc w:val="center"/>
        <w:rPr>
          <w:rFonts w:ascii="Felbridge" w:hAnsi="Felbridge"/>
          <w:b/>
          <w:color w:val="365F91"/>
          <w:sz w:val="16"/>
          <w:szCs w:val="16"/>
        </w:rPr>
      </w:pPr>
      <w:r w:rsidRPr="00C578E5">
        <w:rPr>
          <w:rFonts w:ascii="Felbridge" w:hAnsi="Felbridge"/>
          <w:b/>
          <w:color w:val="365F91"/>
          <w:sz w:val="16"/>
          <w:szCs w:val="16"/>
        </w:rPr>
        <w:t>We value your participation.</w:t>
      </w:r>
    </w:p>
    <w:p w14:paraId="018C692D" w14:textId="3470276B" w:rsidR="00C578E5" w:rsidRDefault="00C578E5" w:rsidP="00C578E5">
      <w:pPr>
        <w:jc w:val="center"/>
        <w:rPr>
          <w:rFonts w:ascii="Felbridge" w:hAnsi="Felbridge"/>
          <w:b/>
          <w:color w:val="365F91"/>
          <w:sz w:val="16"/>
          <w:szCs w:val="16"/>
        </w:rPr>
      </w:pPr>
      <w:r w:rsidRPr="00C578E5">
        <w:rPr>
          <w:rFonts w:ascii="Felbridge" w:hAnsi="Felbridge"/>
          <w:b/>
          <w:color w:val="365F91"/>
          <w:sz w:val="16"/>
          <w:szCs w:val="16"/>
        </w:rPr>
        <w:t xml:space="preserve">Check the </w:t>
      </w:r>
      <w:r w:rsidR="0012430B">
        <w:rPr>
          <w:rFonts w:ascii="Felbridge" w:hAnsi="Felbridge"/>
          <w:b/>
          <w:color w:val="365F91"/>
          <w:sz w:val="16"/>
          <w:szCs w:val="16"/>
        </w:rPr>
        <w:t>D</w:t>
      </w:r>
      <w:r w:rsidRPr="00C578E5">
        <w:rPr>
          <w:rFonts w:ascii="Felbridge" w:hAnsi="Felbridge"/>
          <w:b/>
          <w:color w:val="365F91"/>
          <w:sz w:val="16"/>
          <w:szCs w:val="16"/>
        </w:rPr>
        <w:t>epartment’s website often at</w:t>
      </w:r>
      <w:r w:rsidR="006C2B7D">
        <w:rPr>
          <w:rFonts w:ascii="Felbridge" w:hAnsi="Felbridge"/>
          <w:b/>
          <w:color w:val="365F91"/>
          <w:sz w:val="16"/>
          <w:szCs w:val="16"/>
        </w:rPr>
        <w:t>:</w:t>
      </w:r>
      <w:r w:rsidRPr="00C578E5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hyperlink r:id="rId11" w:history="1">
        <w:r w:rsidR="0012430B" w:rsidRPr="0012430B">
          <w:rPr>
            <w:rStyle w:val="Hyperlink"/>
            <w:rFonts w:ascii="Felbridge" w:hAnsi="Felbridge"/>
            <w:b/>
            <w:sz w:val="16"/>
            <w:szCs w:val="16"/>
          </w:rPr>
          <w:t>www.dhs.pa.gov</w:t>
        </w:r>
      </w:hyperlink>
      <w:r w:rsidR="007B6834" w:rsidRPr="007B6834">
        <w:rPr>
          <w:rStyle w:val="Hyperlink"/>
          <w:rFonts w:ascii="Felbridge" w:hAnsi="Felbridge"/>
          <w:b/>
          <w:color w:val="365F91" w:themeColor="accent1" w:themeShade="BF"/>
          <w:sz w:val="16"/>
          <w:szCs w:val="16"/>
          <w:u w:val="none"/>
        </w:rPr>
        <w:t>.</w:t>
      </w:r>
      <w:r w:rsidR="0012430B" w:rsidRPr="007B6834">
        <w:rPr>
          <w:rFonts w:ascii="Felbridge" w:hAnsi="Felbridge"/>
          <w:color w:val="365F91" w:themeColor="accent1" w:themeShade="BF"/>
          <w:sz w:val="16"/>
          <w:szCs w:val="16"/>
        </w:rPr>
        <w:t xml:space="preserve"> </w:t>
      </w:r>
      <w:r w:rsidR="00EB678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</w:p>
    <w:p w14:paraId="02AB945B" w14:textId="77777777" w:rsidR="00A8374C" w:rsidRPr="00C578E5" w:rsidRDefault="00A8374C" w:rsidP="00C578E5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sectPr w:rsidR="00A8374C" w:rsidRPr="00C578E5" w:rsidSect="008B3C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7" w:right="1440" w:bottom="1440" w:left="1440" w:header="45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E413" w14:textId="77777777" w:rsidR="005A5339" w:rsidRDefault="005A5339" w:rsidP="00AE5C55">
      <w:r>
        <w:separator/>
      </w:r>
    </w:p>
  </w:endnote>
  <w:endnote w:type="continuationSeparator" w:id="0">
    <w:p w14:paraId="0478847C" w14:textId="77777777" w:rsidR="005A5339" w:rsidRDefault="005A5339" w:rsidP="00AE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bridg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 Extra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07D7" w14:textId="77777777" w:rsidR="00990CDA" w:rsidRDefault="00990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9657" w14:textId="7CA3B5CD" w:rsidR="00ED31DD" w:rsidRPr="006965BB" w:rsidRDefault="00C03469" w:rsidP="00ED31DD">
    <w:pPr>
      <w:pStyle w:val="Footer"/>
      <w:tabs>
        <w:tab w:val="left" w:pos="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B</w:t>
    </w:r>
    <w:r w:rsidR="00E34609">
      <w:rPr>
        <w:rFonts w:ascii="Arial" w:hAnsi="Arial" w:cs="Arial"/>
        <w:sz w:val="12"/>
        <w:szCs w:val="12"/>
      </w:rPr>
      <w:t>FFS</w:t>
    </w:r>
    <w:r w:rsidR="005D7646">
      <w:rPr>
        <w:rFonts w:ascii="Arial" w:hAnsi="Arial" w:cs="Arial"/>
        <w:sz w:val="12"/>
        <w:szCs w:val="12"/>
      </w:rPr>
      <w:t xml:space="preserve"> </w:t>
    </w:r>
    <w:r w:rsidR="00990CDA">
      <w:rPr>
        <w:rFonts w:ascii="Arial" w:hAnsi="Arial" w:cs="Arial"/>
        <w:sz w:val="12"/>
        <w:szCs w:val="12"/>
      </w:rPr>
      <w:t>10</w:t>
    </w:r>
    <w:r w:rsidR="007231EA">
      <w:rPr>
        <w:rFonts w:ascii="Arial" w:hAnsi="Arial" w:cs="Arial"/>
        <w:sz w:val="12"/>
        <w:szCs w:val="12"/>
      </w:rPr>
      <w:t>/1</w:t>
    </w:r>
    <w:r w:rsidR="00990CDA">
      <w:rPr>
        <w:rFonts w:ascii="Arial" w:hAnsi="Arial" w:cs="Arial"/>
        <w:sz w:val="12"/>
        <w:szCs w:val="12"/>
      </w:rPr>
      <w:t>9</w:t>
    </w:r>
    <w:r w:rsidR="00E34609">
      <w:rPr>
        <w:rFonts w:ascii="Arial" w:hAnsi="Arial" w:cs="Arial"/>
        <w:sz w:val="12"/>
        <w:szCs w:val="12"/>
      </w:rPr>
      <w:t xml:space="preserve"> rev 3/17</w:t>
    </w:r>
    <w:r w:rsidR="00ED31DD">
      <w:rPr>
        <w:rFonts w:ascii="Arial" w:hAnsi="Arial" w:cs="Arial"/>
        <w:sz w:val="12"/>
        <w:szCs w:val="12"/>
      </w:rPr>
      <w:tab/>
    </w:r>
    <w:r w:rsidR="00A8374C">
      <w:rPr>
        <w:rFonts w:ascii="Cambria" w:hAnsi="Cambria"/>
        <w:noProof/>
        <w:color w:val="17365D"/>
      </w:rPr>
      <w:drawing>
        <wp:inline distT="0" distB="0" distL="0" distR="0" wp14:anchorId="780AD868" wp14:editId="531D10D4">
          <wp:extent cx="1187450" cy="6223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31DD">
      <w:rPr>
        <w:rFonts w:ascii="Arial" w:hAnsi="Arial" w:cs="Arial"/>
        <w:sz w:val="12"/>
        <w:szCs w:val="12"/>
      </w:rPr>
      <w:tab/>
    </w:r>
    <w:r w:rsidR="00ED31DD" w:rsidRPr="006965BB">
      <w:rPr>
        <w:rFonts w:ascii="Arial" w:hAnsi="Arial" w:cs="Arial"/>
        <w:sz w:val="12"/>
        <w:szCs w:val="12"/>
      </w:rPr>
      <w:t xml:space="preserve">MA 548   </w:t>
    </w:r>
  </w:p>
  <w:p w14:paraId="20AF4A72" w14:textId="77777777" w:rsidR="00ED31DD" w:rsidRDefault="00ED3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F2EE" w14:textId="77777777" w:rsidR="00990CDA" w:rsidRDefault="00990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5FE3" w14:textId="77777777" w:rsidR="005A5339" w:rsidRDefault="005A5339" w:rsidP="00AE5C55">
      <w:r>
        <w:separator/>
      </w:r>
    </w:p>
  </w:footnote>
  <w:footnote w:type="continuationSeparator" w:id="0">
    <w:p w14:paraId="6218110A" w14:textId="77777777" w:rsidR="005A5339" w:rsidRDefault="005A5339" w:rsidP="00AE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E2AE" w14:textId="77777777" w:rsidR="00990CDA" w:rsidRDefault="00990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55"/>
      <w:gridCol w:w="7065"/>
      <w:gridCol w:w="1890"/>
    </w:tblGrid>
    <w:tr w:rsidR="00255077" w14:paraId="65B8BEBA" w14:textId="77777777" w:rsidTr="00255077">
      <w:trPr>
        <w:trHeight w:val="1520"/>
        <w:jc w:val="center"/>
      </w:trPr>
      <w:tc>
        <w:tcPr>
          <w:tcW w:w="1755" w:type="dxa"/>
          <w:vAlign w:val="center"/>
        </w:tcPr>
        <w:p w14:paraId="77494959" w14:textId="77777777" w:rsidR="008B3CF0" w:rsidRPr="00927488" w:rsidRDefault="008B3CF0" w:rsidP="00927488">
          <w:pPr>
            <w:pStyle w:val="Header"/>
            <w:tabs>
              <w:tab w:val="clear" w:pos="9360"/>
              <w:tab w:val="right" w:pos="8100"/>
            </w:tabs>
            <w:jc w:val="center"/>
            <w:rPr>
              <w:sz w:val="2"/>
            </w:rPr>
          </w:pPr>
          <w:r w:rsidRPr="00927488">
            <w:rPr>
              <w:noProof/>
              <w:sz w:val="2"/>
            </w:rPr>
            <w:drawing>
              <wp:anchor distT="0" distB="0" distL="114300" distR="114300" simplePos="0" relativeHeight="251658240" behindDoc="0" locked="1" layoutInCell="1" allowOverlap="1" wp14:anchorId="2BDAA91B" wp14:editId="7E962EFF">
                <wp:simplePos x="1133475" y="666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32688" cy="896112"/>
                <wp:effectExtent l="0" t="0" r="1270" b="0"/>
                <wp:wrapSquare wrapText="bothSides"/>
                <wp:docPr id="19" name="Picture 19" descr="DHS keys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HS keys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688" cy="89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65" w:type="dxa"/>
          <w:vAlign w:val="center"/>
        </w:tcPr>
        <w:p w14:paraId="518FDB29" w14:textId="77777777" w:rsidR="008B3CF0" w:rsidRDefault="008B3CF0" w:rsidP="008B3CF0">
          <w:pPr>
            <w:pStyle w:val="Header"/>
            <w:tabs>
              <w:tab w:val="clear" w:pos="9360"/>
              <w:tab w:val="right" w:pos="8100"/>
            </w:tabs>
            <w:jc w:val="center"/>
          </w:pPr>
          <w:r w:rsidRPr="009B36A1">
            <w:rPr>
              <w:rFonts w:ascii="Felbridge Extra Bold" w:hAnsi="Felbridge Extra Bold"/>
              <w:color w:val="1D396B"/>
              <w:sz w:val="52"/>
              <w:szCs w:val="52"/>
            </w:rPr>
            <w:t xml:space="preserve">PROVIDER </w:t>
          </w:r>
          <w:r w:rsidRPr="009B36A1">
            <w:rPr>
              <w:rFonts w:ascii="Felbridge" w:hAnsi="Felbridge"/>
              <w:color w:val="1D396B"/>
              <w:sz w:val="52"/>
              <w:szCs w:val="52"/>
            </w:rPr>
            <w:t>QUICK TIPS</w:t>
          </w:r>
        </w:p>
      </w:tc>
      <w:tc>
        <w:tcPr>
          <w:tcW w:w="1890" w:type="dxa"/>
          <w:vAlign w:val="center"/>
        </w:tcPr>
        <w:p w14:paraId="16D7893E" w14:textId="77777777" w:rsidR="008B3CF0" w:rsidRPr="00927488" w:rsidRDefault="00927488" w:rsidP="00927488">
          <w:pPr>
            <w:pStyle w:val="Header"/>
            <w:tabs>
              <w:tab w:val="clear" w:pos="9360"/>
              <w:tab w:val="right" w:pos="8100"/>
            </w:tabs>
            <w:jc w:val="center"/>
            <w:rPr>
              <w:sz w:val="2"/>
            </w:rPr>
          </w:pPr>
          <w:r w:rsidRPr="00927488">
            <w:rPr>
              <w:noProof/>
              <w:sz w:val="2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6295E3B2" wp14:editId="2B4D15A2">
                    <wp:simplePos x="0" y="0"/>
                    <wp:positionH relativeFrom="page">
                      <wp:posOffset>109855</wp:posOffset>
                    </wp:positionH>
                    <wp:positionV relativeFrom="page">
                      <wp:posOffset>234315</wp:posOffset>
                    </wp:positionV>
                    <wp:extent cx="932180" cy="474980"/>
                    <wp:effectExtent l="0" t="0" r="0" b="1270"/>
                    <wp:wrapNone/>
                    <wp:docPr id="22" name="Text Box 2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/>
                          </wps:cNvSpPr>
                          <wps:spPr>
                            <a:xfrm>
                              <a:off x="0" y="0"/>
                              <a:ext cx="932180" cy="474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1B8962" w14:textId="0460ACAB" w:rsidR="00927488" w:rsidRPr="00927488" w:rsidRDefault="00864665" w:rsidP="00927488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FFFFFF" w:themeColor="background1"/>
                                    <w:sz w:val="40"/>
                                  </w:rPr>
                                  <w:t>#</w:t>
                                </w:r>
                                <w:r w:rsidR="00990CDA">
                                  <w:rPr>
                                    <w:rFonts w:ascii="Arial Black" w:hAnsi="Arial Black"/>
                                    <w:color w:val="FFFFFF" w:themeColor="background1"/>
                                    <w:sz w:val="40"/>
                                  </w:rPr>
                                  <w:t>224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95E3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left:0;text-align:left;margin-left:8.65pt;margin-top:18.45pt;width:73.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IelAIAAI8FAAAOAAAAZHJzL2Uyb0RvYy54bWysVMlu2zAQvRfoPxC8N7IdZxMiB66DFAWM&#10;JGhS5ExTpCWE4rAkbcn9+gxJyTbSXlL0Ig1nebPP9U3XKLIV1tWgCzo+GVEiNIey1uuC/ny++3JJ&#10;ifNMl0yBFgXdCUdvZp8/XbcmFxOoQJXCEgTRLm9NQSvvTZ5ljleiYe4EjNAolGAb5vFp11lpWYvo&#10;jcomo9F51oItjQUunEPubRLSWcSXUnD/IKUTnqiCYmw+fm38rsI3m12zfG2ZqWreh8H+IYqG1Rqd&#10;7qFumWdkY+s/oJqaW3Ag/QmHJgMpay5iDpjNePQum6eKGRFzweI4sy+T+3+w/H77aEldFnQyoUSz&#10;Bnv0LDpPvkJHkIX1aY3LUe3JoKLvkI99jrk6swT+6oiGRcX0WsydwXoHKVplR2YJwyFAKFEnbRP+&#10;mDxBLOzKbt+J4Jkj8+p0Mr5ECUfR9GJ6hXTAPBgb6/w3AQ0JREEtOo4xse3S+aQ6qARfGu5qpZDP&#10;cqVJW9Dz07NRNNhLEFzpoCDi2PQwIYsUeKT8TokE8kNILFuMPzDiwIqFsmTLcNQY50L7VIiAi9pB&#10;S2IQHzHs9Q9RfcQ45TF4Bu33xk2twaYWhj07hF2+DiHLpN/30aW8Qwl8t+qwjoFcQbnDmbCQtsoZ&#10;fldjN5bM+UdmcY2wgXga/AN+pAKsOvQUJRXY33/jB32cbpRS0uJaFtT92jArKFHfNc791Xg6DXsc&#10;H9Oziwk+7LFkdSzRm2YB2I4xHiHDIxn0vRpIaaF5wQsyD15RxDRH3wX1A7nw6VjgBeJiPo9KuLmG&#10;+aV+MnxYhTBrz90Ls6YfSI+TfA/DArP83Vwm3dBXDfONB1nHoT1UtS88bn0c+/5ChbNy/I5ahzs6&#10;ewMAAP//AwBQSwMEFAAGAAgAAAAhAKYQ7t3hAAAACQEAAA8AAABkcnMvZG93bnJldi54bWxMj0FP&#10;wkAQhe8m/ofNmHiTbUEL1m4JaUJMjB5ALt623aFt7M7W7gKVX89w0tu8vJc338uWo+3EEQffOlIQ&#10;TyIQSJUzLdUKdp/rhwUIHzQZ3TlCBb/oYZnf3mQ6Ne5EGzxuQy24hHyqFTQh9KmUvmrQaj9xPRJ7&#10;ezdYHVgOtTSDPnG57eQ0ihJpdUv8odE9Fg1W39uDVfBWrD/0ppzaxbkrXt/3q/5n9/Wk1P3duHoB&#10;EXAMf2G44jM65MxUugMZLzrW8xknFcySZxBXP3mMQZR8xPEcZJ7J/wvyCwAAAP//AwBQSwECLQAU&#10;AAYACAAAACEAtoM4kv4AAADhAQAAEwAAAAAAAAAAAAAAAAAAAAAAW0NvbnRlbnRfVHlwZXNdLnht&#10;bFBLAQItABQABgAIAAAAIQA4/SH/1gAAAJQBAAALAAAAAAAAAAAAAAAAAC8BAABfcmVscy8ucmVs&#10;c1BLAQItABQABgAIAAAAIQDKKOIelAIAAI8FAAAOAAAAAAAAAAAAAAAAAC4CAABkcnMvZTJvRG9j&#10;LnhtbFBLAQItABQABgAIAAAAIQCmEO7d4QAAAAkBAAAPAAAAAAAAAAAAAAAAAO4EAABkcnMvZG93&#10;bnJldi54bWxQSwUGAAAAAAQABADzAAAA/AUAAAAA&#10;" filled="f" stroked="f" strokeweight=".5pt">
                    <o:lock v:ext="edit" aspectratio="t"/>
                    <v:textbox>
                      <w:txbxContent>
                        <w:p w14:paraId="1D1B8962" w14:textId="0460ACAB" w:rsidR="00927488" w:rsidRPr="00927488" w:rsidRDefault="00864665" w:rsidP="00927488">
                          <w:pPr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40"/>
                            </w:rPr>
                            <w:t>#</w:t>
                          </w:r>
                          <w:r w:rsidR="00990CDA">
                            <w:rPr>
                              <w:rFonts w:ascii="Arial Black" w:hAnsi="Arial Black"/>
                              <w:color w:val="FFFFFF" w:themeColor="background1"/>
                              <w:sz w:val="40"/>
                            </w:rPr>
                            <w:t>224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 w:rsidR="008B3CF0" w:rsidRPr="00927488">
            <w:rPr>
              <w:noProof/>
              <w:sz w:val="2"/>
            </w:rPr>
            <w:drawing>
              <wp:anchor distT="0" distB="0" distL="114300" distR="114300" simplePos="0" relativeHeight="251657215" behindDoc="1" locked="1" layoutInCell="1" allowOverlap="1" wp14:anchorId="4743A5E4" wp14:editId="094004F5">
                <wp:simplePos x="6324600" y="666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32688" cy="896112"/>
                <wp:effectExtent l="0" t="0" r="1270" b="0"/>
                <wp:wrapSquare wrapText="bothSides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688" cy="89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79D00A" w14:textId="77777777" w:rsidR="00ED31DD" w:rsidRDefault="00ED31DD" w:rsidP="008B3CF0">
    <w:pPr>
      <w:pStyle w:val="Header"/>
      <w:tabs>
        <w:tab w:val="clear" w:pos="9360"/>
        <w:tab w:val="right" w:pos="81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3067" w14:textId="77777777" w:rsidR="00990CDA" w:rsidRDefault="00990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909"/>
    <w:multiLevelType w:val="hybridMultilevel"/>
    <w:tmpl w:val="61A8D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D07D6"/>
    <w:multiLevelType w:val="hybridMultilevel"/>
    <w:tmpl w:val="55E6E67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22651C"/>
    <w:multiLevelType w:val="hybridMultilevel"/>
    <w:tmpl w:val="7FE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7F69"/>
    <w:multiLevelType w:val="hybridMultilevel"/>
    <w:tmpl w:val="53CC0BF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B8A4DDB"/>
    <w:multiLevelType w:val="hybridMultilevel"/>
    <w:tmpl w:val="0CA21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442FF"/>
    <w:multiLevelType w:val="hybridMultilevel"/>
    <w:tmpl w:val="F91088F0"/>
    <w:lvl w:ilvl="0" w:tplc="73064F20">
      <w:numFmt w:val="bullet"/>
      <w:lvlText w:val="-"/>
      <w:lvlJc w:val="left"/>
      <w:pPr>
        <w:ind w:left="1080" w:hanging="360"/>
      </w:pPr>
      <w:rPr>
        <w:rFonts w:ascii="Felbridge" w:eastAsia="Times New Roman" w:hAnsi="Felbridg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C1A2E"/>
    <w:multiLevelType w:val="hybridMultilevel"/>
    <w:tmpl w:val="0E9E142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D2C1E31"/>
    <w:multiLevelType w:val="hybridMultilevel"/>
    <w:tmpl w:val="87AC6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C78A0"/>
    <w:multiLevelType w:val="hybridMultilevel"/>
    <w:tmpl w:val="D56E80EC"/>
    <w:lvl w:ilvl="0" w:tplc="8FCAE2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677F"/>
    <w:multiLevelType w:val="hybridMultilevel"/>
    <w:tmpl w:val="9EC4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2D93"/>
    <w:multiLevelType w:val="hybridMultilevel"/>
    <w:tmpl w:val="2B0E09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9F4492"/>
    <w:multiLevelType w:val="hybridMultilevel"/>
    <w:tmpl w:val="A05E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31489"/>
    <w:multiLevelType w:val="hybridMultilevel"/>
    <w:tmpl w:val="04CA3640"/>
    <w:lvl w:ilvl="0" w:tplc="73064F20">
      <w:numFmt w:val="bullet"/>
      <w:lvlText w:val="-"/>
      <w:lvlJc w:val="left"/>
      <w:pPr>
        <w:ind w:left="720" w:hanging="360"/>
      </w:pPr>
      <w:rPr>
        <w:rFonts w:ascii="Felbridge" w:eastAsia="Times New Roman" w:hAnsi="Felbridg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20C31"/>
    <w:multiLevelType w:val="hybridMultilevel"/>
    <w:tmpl w:val="EF80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45A68"/>
    <w:multiLevelType w:val="hybridMultilevel"/>
    <w:tmpl w:val="2ADA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A1F7D"/>
    <w:multiLevelType w:val="hybridMultilevel"/>
    <w:tmpl w:val="6296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D2062"/>
    <w:multiLevelType w:val="hybridMultilevel"/>
    <w:tmpl w:val="25A6C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63CA"/>
    <w:multiLevelType w:val="hybridMultilevel"/>
    <w:tmpl w:val="F7FC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E318E"/>
    <w:multiLevelType w:val="hybridMultilevel"/>
    <w:tmpl w:val="9A4E3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0"/>
  </w:num>
  <w:num w:numId="5">
    <w:abstractNumId w:val="17"/>
  </w:num>
  <w:num w:numId="6">
    <w:abstractNumId w:val="15"/>
  </w:num>
  <w:num w:numId="7">
    <w:abstractNumId w:val="18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CA"/>
    <w:rsid w:val="00037A6C"/>
    <w:rsid w:val="0004490A"/>
    <w:rsid w:val="000539A0"/>
    <w:rsid w:val="00061BBA"/>
    <w:rsid w:val="0008568E"/>
    <w:rsid w:val="000A7020"/>
    <w:rsid w:val="000E23A8"/>
    <w:rsid w:val="000E568E"/>
    <w:rsid w:val="0012430B"/>
    <w:rsid w:val="001368D9"/>
    <w:rsid w:val="00137A09"/>
    <w:rsid w:val="00153E85"/>
    <w:rsid w:val="001B040E"/>
    <w:rsid w:val="001C4B17"/>
    <w:rsid w:val="001C667E"/>
    <w:rsid w:val="00255077"/>
    <w:rsid w:val="002A343C"/>
    <w:rsid w:val="002B5C64"/>
    <w:rsid w:val="002C1AD4"/>
    <w:rsid w:val="002C27C7"/>
    <w:rsid w:val="002E19D6"/>
    <w:rsid w:val="002F6EA6"/>
    <w:rsid w:val="002F7CF3"/>
    <w:rsid w:val="0031437E"/>
    <w:rsid w:val="00355E1C"/>
    <w:rsid w:val="003B208F"/>
    <w:rsid w:val="003D1FE1"/>
    <w:rsid w:val="003F3ACF"/>
    <w:rsid w:val="0042166B"/>
    <w:rsid w:val="004369D4"/>
    <w:rsid w:val="0043745A"/>
    <w:rsid w:val="0044397A"/>
    <w:rsid w:val="00455FC3"/>
    <w:rsid w:val="004723DC"/>
    <w:rsid w:val="00475623"/>
    <w:rsid w:val="0049030C"/>
    <w:rsid w:val="004926EA"/>
    <w:rsid w:val="00497D61"/>
    <w:rsid w:val="004A218D"/>
    <w:rsid w:val="005250CA"/>
    <w:rsid w:val="0053405A"/>
    <w:rsid w:val="00547BFE"/>
    <w:rsid w:val="00564018"/>
    <w:rsid w:val="00586608"/>
    <w:rsid w:val="005A5339"/>
    <w:rsid w:val="005B2E7F"/>
    <w:rsid w:val="005B2F4C"/>
    <w:rsid w:val="005B3D36"/>
    <w:rsid w:val="005D7646"/>
    <w:rsid w:val="006112E2"/>
    <w:rsid w:val="006162FD"/>
    <w:rsid w:val="00623BA2"/>
    <w:rsid w:val="00624224"/>
    <w:rsid w:val="0063260E"/>
    <w:rsid w:val="0065073A"/>
    <w:rsid w:val="00651231"/>
    <w:rsid w:val="00674657"/>
    <w:rsid w:val="006965BB"/>
    <w:rsid w:val="006A187A"/>
    <w:rsid w:val="006C0CCB"/>
    <w:rsid w:val="006C2B7D"/>
    <w:rsid w:val="006F6910"/>
    <w:rsid w:val="006F7A45"/>
    <w:rsid w:val="007115E2"/>
    <w:rsid w:val="00713B7B"/>
    <w:rsid w:val="007231EA"/>
    <w:rsid w:val="00757F64"/>
    <w:rsid w:val="007A40BA"/>
    <w:rsid w:val="007B174A"/>
    <w:rsid w:val="007B1ED9"/>
    <w:rsid w:val="007B6834"/>
    <w:rsid w:val="007E3B89"/>
    <w:rsid w:val="00864665"/>
    <w:rsid w:val="0086785C"/>
    <w:rsid w:val="008766D5"/>
    <w:rsid w:val="00885E70"/>
    <w:rsid w:val="00886854"/>
    <w:rsid w:val="008B34D2"/>
    <w:rsid w:val="008B3CF0"/>
    <w:rsid w:val="008F0A17"/>
    <w:rsid w:val="008F7194"/>
    <w:rsid w:val="008F7DC7"/>
    <w:rsid w:val="009015BA"/>
    <w:rsid w:val="00912DDA"/>
    <w:rsid w:val="00916BB5"/>
    <w:rsid w:val="00927488"/>
    <w:rsid w:val="00935681"/>
    <w:rsid w:val="00943ED2"/>
    <w:rsid w:val="009719E4"/>
    <w:rsid w:val="00990CDA"/>
    <w:rsid w:val="009B36A1"/>
    <w:rsid w:val="00A132CA"/>
    <w:rsid w:val="00A3779C"/>
    <w:rsid w:val="00A41F12"/>
    <w:rsid w:val="00A52B36"/>
    <w:rsid w:val="00A8374C"/>
    <w:rsid w:val="00A854E8"/>
    <w:rsid w:val="00AB35F9"/>
    <w:rsid w:val="00AB6165"/>
    <w:rsid w:val="00AE5C55"/>
    <w:rsid w:val="00AF26C6"/>
    <w:rsid w:val="00B177A3"/>
    <w:rsid w:val="00B32818"/>
    <w:rsid w:val="00B8116F"/>
    <w:rsid w:val="00B94B9C"/>
    <w:rsid w:val="00BA1B2F"/>
    <w:rsid w:val="00BB699B"/>
    <w:rsid w:val="00BC36DC"/>
    <w:rsid w:val="00BE3AF5"/>
    <w:rsid w:val="00BE7B78"/>
    <w:rsid w:val="00C03469"/>
    <w:rsid w:val="00C45F8A"/>
    <w:rsid w:val="00C53FB9"/>
    <w:rsid w:val="00C578E5"/>
    <w:rsid w:val="00CA2A33"/>
    <w:rsid w:val="00CA5071"/>
    <w:rsid w:val="00CA71DE"/>
    <w:rsid w:val="00CE149D"/>
    <w:rsid w:val="00D036D3"/>
    <w:rsid w:val="00D2401A"/>
    <w:rsid w:val="00D33CD2"/>
    <w:rsid w:val="00D559DB"/>
    <w:rsid w:val="00D65292"/>
    <w:rsid w:val="00D7404D"/>
    <w:rsid w:val="00D8175B"/>
    <w:rsid w:val="00D95730"/>
    <w:rsid w:val="00DA211E"/>
    <w:rsid w:val="00DF2E4E"/>
    <w:rsid w:val="00E1262C"/>
    <w:rsid w:val="00E34609"/>
    <w:rsid w:val="00E43ECB"/>
    <w:rsid w:val="00E858FA"/>
    <w:rsid w:val="00EA4A0D"/>
    <w:rsid w:val="00EB0FF2"/>
    <w:rsid w:val="00EB678D"/>
    <w:rsid w:val="00ED31DD"/>
    <w:rsid w:val="00ED7C4F"/>
    <w:rsid w:val="00EE64C6"/>
    <w:rsid w:val="00EF64F7"/>
    <w:rsid w:val="00F81929"/>
    <w:rsid w:val="00F81FCE"/>
    <w:rsid w:val="00F828B9"/>
    <w:rsid w:val="00F82EAB"/>
    <w:rsid w:val="00F87F5D"/>
    <w:rsid w:val="00F924C6"/>
    <w:rsid w:val="00F92C57"/>
    <w:rsid w:val="00FD51F2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DBD43"/>
  <w15:docId w15:val="{C2659C09-7F73-4571-A1BC-24FDA9F6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6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2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5C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5C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5C55"/>
    <w:pPr>
      <w:ind w:left="720"/>
      <w:contextualSpacing/>
    </w:pPr>
  </w:style>
  <w:style w:type="character" w:styleId="Hyperlink">
    <w:name w:val="Hyperlink"/>
    <w:uiPriority w:val="99"/>
    <w:unhideWhenUsed/>
    <w:rsid w:val="006965BB"/>
    <w:rPr>
      <w:color w:val="0000FF"/>
      <w:u w:val="single"/>
    </w:rPr>
  </w:style>
  <w:style w:type="paragraph" w:customStyle="1" w:styleId="Default">
    <w:name w:val="Default"/>
    <w:rsid w:val="00C03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374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FE1"/>
  </w:style>
  <w:style w:type="paragraph" w:styleId="NormalWeb">
    <w:name w:val="Normal (Web)"/>
    <w:basedOn w:val="Normal"/>
    <w:uiPriority w:val="99"/>
    <w:semiHidden/>
    <w:unhideWhenUsed/>
    <w:rsid w:val="00E34609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6C0CCB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pa.gov/cs/groups/webcontent/documents/bulletin_admin/c_275896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hs.pa.gov/cs/groups/webcontent/documents/form/p_02355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omise.DHS.state.pa.u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5CBA-6A83-4DED-873F-5FBC0AB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3036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http://www.dpw.state.pa.us/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xplocal</dc:creator>
  <cp:lastModifiedBy>Codling, Janelle</cp:lastModifiedBy>
  <cp:revision>2</cp:revision>
  <cp:lastPrinted>2010-11-30T15:59:00Z</cp:lastPrinted>
  <dcterms:created xsi:type="dcterms:W3CDTF">2019-11-12T16:16:00Z</dcterms:created>
  <dcterms:modified xsi:type="dcterms:W3CDTF">2019-11-12T16:16:00Z</dcterms:modified>
</cp:coreProperties>
</file>